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AB" w:rsidRPr="00977DAB" w:rsidRDefault="00977DAB" w:rsidP="00977DAB">
      <w:pPr>
        <w:pStyle w:val="Heading1"/>
        <w:jc w:val="center"/>
        <w:rPr>
          <w:rFonts w:ascii="Arial" w:hAnsi="Arial" w:cs="Arial"/>
          <w:bCs w:val="0"/>
        </w:rPr>
      </w:pPr>
      <w:r>
        <w:rPr>
          <w:rFonts w:ascii="Arial" w:hAnsi="Arial" w:cs="Arial"/>
          <w:bCs w:val="0"/>
        </w:rPr>
        <w:t>The Discovery Quilt</w:t>
      </w:r>
    </w:p>
    <w:p w:rsidR="00977DAB" w:rsidRDefault="00977DAB" w:rsidP="00977DAB">
      <w:pPr>
        <w:pStyle w:val="Heading1"/>
        <w:spacing w:before="0"/>
        <w:rPr>
          <w:rFonts w:ascii="Arial" w:hAnsi="Arial" w:cs="Arial"/>
          <w:bCs w:val="0"/>
          <w:u w:val="single"/>
        </w:rPr>
      </w:pPr>
    </w:p>
    <w:p w:rsidR="00977DAB" w:rsidRPr="00110B70" w:rsidRDefault="00977DAB" w:rsidP="00977DAB">
      <w:pPr>
        <w:pStyle w:val="Heading1"/>
        <w:spacing w:before="0"/>
        <w:rPr>
          <w:rFonts w:ascii="Comic Sans MS" w:hAnsi="Comic Sans MS" w:cs="Arial"/>
          <w:b w:val="0"/>
          <w:bCs w:val="0"/>
        </w:rPr>
      </w:pPr>
      <w:r w:rsidRPr="00110B70">
        <w:rPr>
          <w:rFonts w:ascii="Comic Sans MS" w:hAnsi="Comic Sans MS" w:cs="Arial"/>
          <w:bCs w:val="0"/>
          <w:u w:val="single"/>
        </w:rPr>
        <w:t>Purpose</w:t>
      </w:r>
    </w:p>
    <w:p w:rsidR="00977DAB" w:rsidRPr="00110B70" w:rsidRDefault="00977DAB" w:rsidP="00977DAB">
      <w:pPr>
        <w:spacing w:after="0"/>
        <w:rPr>
          <w:rFonts w:ascii="Comic Sans MS" w:hAnsi="Comic Sans MS"/>
        </w:rPr>
      </w:pP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The Discovery Quilt activity can provide formative and summative assessment.  This activity:</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numPr>
          <w:ilvl w:val="0"/>
          <w:numId w:val="7"/>
        </w:numPr>
        <w:spacing w:after="0" w:line="240" w:lineRule="auto"/>
        <w:rPr>
          <w:rFonts w:ascii="Comic Sans MS" w:hAnsi="Comic Sans MS" w:cs="Arial"/>
          <w:sz w:val="22"/>
          <w:szCs w:val="22"/>
        </w:rPr>
      </w:pPr>
      <w:r w:rsidRPr="00110B70">
        <w:rPr>
          <w:rFonts w:ascii="Comic Sans MS" w:hAnsi="Comic Sans MS" w:cs="Arial"/>
          <w:sz w:val="22"/>
          <w:szCs w:val="22"/>
        </w:rPr>
        <w:t xml:space="preserve">Can be used to introduce a topic and to determine student knowledge before beginning a lesson and </w:t>
      </w:r>
    </w:p>
    <w:p w:rsidR="00977DAB" w:rsidRPr="00110B70" w:rsidRDefault="00977DAB" w:rsidP="00977DAB">
      <w:pPr>
        <w:spacing w:after="0"/>
        <w:ind w:left="360"/>
        <w:rPr>
          <w:rFonts w:ascii="Comic Sans MS" w:hAnsi="Comic Sans MS" w:cs="Arial"/>
          <w:sz w:val="22"/>
          <w:szCs w:val="22"/>
        </w:rPr>
      </w:pPr>
    </w:p>
    <w:p w:rsidR="00977DAB" w:rsidRPr="00110B70" w:rsidRDefault="00977DAB" w:rsidP="00977DAB">
      <w:pPr>
        <w:numPr>
          <w:ilvl w:val="0"/>
          <w:numId w:val="7"/>
        </w:numPr>
        <w:spacing w:after="0" w:line="240" w:lineRule="auto"/>
        <w:rPr>
          <w:rFonts w:ascii="Comic Sans MS" w:hAnsi="Comic Sans MS" w:cs="Arial"/>
          <w:sz w:val="22"/>
          <w:szCs w:val="22"/>
        </w:rPr>
      </w:pPr>
      <w:r w:rsidRPr="00110B70">
        <w:rPr>
          <w:rFonts w:ascii="Comic Sans MS" w:hAnsi="Comic Sans MS" w:cs="Arial"/>
          <w:sz w:val="22"/>
          <w:szCs w:val="22"/>
        </w:rPr>
        <w:t>Allows students to ask questions or express what they do not know about a topic, and</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numPr>
          <w:ilvl w:val="0"/>
          <w:numId w:val="7"/>
        </w:numPr>
        <w:spacing w:after="0" w:line="240" w:lineRule="auto"/>
        <w:rPr>
          <w:rFonts w:ascii="Comic Sans MS" w:hAnsi="Comic Sans MS" w:cs="Arial"/>
          <w:sz w:val="22"/>
          <w:szCs w:val="22"/>
        </w:rPr>
      </w:pPr>
      <w:r w:rsidRPr="00110B70">
        <w:rPr>
          <w:rFonts w:ascii="Comic Sans MS" w:hAnsi="Comic Sans MS" w:cs="Arial"/>
          <w:sz w:val="22"/>
          <w:szCs w:val="22"/>
        </w:rPr>
        <w:t>Helps them formalize what they have learned while allowing the teacher to conduct summative assessment.</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 xml:space="preserve"> </w:t>
      </w:r>
    </w:p>
    <w:p w:rsidR="00977DAB" w:rsidRPr="00110B70" w:rsidRDefault="00977DAB" w:rsidP="00977DAB">
      <w:pPr>
        <w:spacing w:after="0"/>
        <w:rPr>
          <w:rFonts w:ascii="Comic Sans MS" w:hAnsi="Comic Sans MS" w:cs="Arial"/>
          <w:b/>
          <w:bCs/>
          <w:sz w:val="22"/>
          <w:szCs w:val="22"/>
        </w:rPr>
      </w:pPr>
      <w:r w:rsidRPr="00110B70">
        <w:rPr>
          <w:rFonts w:ascii="Comic Sans MS" w:hAnsi="Comic Sans MS" w:cs="Arial"/>
          <w:b/>
          <w:bCs/>
          <w:sz w:val="22"/>
          <w:szCs w:val="22"/>
          <w:u w:val="single"/>
        </w:rPr>
        <w:t>Materials needed</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Markers</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Tape</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Butcher paper or chart paper (at least 24” x 32”)</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Meter</w:t>
      </w:r>
      <w:r>
        <w:rPr>
          <w:rFonts w:ascii="Comic Sans MS" w:hAnsi="Comic Sans MS" w:cs="Arial"/>
          <w:sz w:val="22"/>
          <w:szCs w:val="22"/>
        </w:rPr>
        <w:t xml:space="preserve"> </w:t>
      </w:r>
      <w:r w:rsidRPr="00110B70">
        <w:rPr>
          <w:rFonts w:ascii="Comic Sans MS" w:hAnsi="Comic Sans MS" w:cs="Arial"/>
          <w:sz w:val="22"/>
          <w:szCs w:val="22"/>
        </w:rPr>
        <w:t>stick</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Colored index cards (or construction paper squares in a variety of light colors or colorful sticky notes)</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spacing w:after="0"/>
        <w:rPr>
          <w:rFonts w:ascii="Comic Sans MS" w:hAnsi="Comic Sans MS" w:cs="Arial"/>
          <w:b/>
          <w:bCs/>
          <w:sz w:val="22"/>
          <w:szCs w:val="22"/>
        </w:rPr>
      </w:pPr>
      <w:r w:rsidRPr="00110B70">
        <w:rPr>
          <w:rFonts w:ascii="Comic Sans MS" w:hAnsi="Comic Sans MS" w:cs="Arial"/>
          <w:b/>
          <w:bCs/>
          <w:sz w:val="22"/>
          <w:szCs w:val="22"/>
          <w:u w:val="single"/>
        </w:rPr>
        <w:t>Procedure</w:t>
      </w:r>
    </w:p>
    <w:p w:rsidR="00977DAB" w:rsidRPr="00110B70" w:rsidRDefault="00977DAB" w:rsidP="00977DAB">
      <w:pPr>
        <w:numPr>
          <w:ilvl w:val="0"/>
          <w:numId w:val="6"/>
        </w:numPr>
        <w:spacing w:after="0" w:line="240" w:lineRule="auto"/>
        <w:ind w:left="360" w:hanging="360"/>
        <w:rPr>
          <w:rFonts w:ascii="Comic Sans MS" w:hAnsi="Comic Sans MS" w:cs="Arial"/>
          <w:sz w:val="22"/>
          <w:szCs w:val="22"/>
        </w:rPr>
      </w:pPr>
      <w:r w:rsidRPr="00110B70">
        <w:rPr>
          <w:rFonts w:ascii="Comic Sans MS" w:hAnsi="Comic Sans MS" w:cs="Arial"/>
          <w:sz w:val="22"/>
          <w:szCs w:val="22"/>
        </w:rPr>
        <w:t>At the beginning of a lesson, have the students work in groups to brainstorm what they know about the selected topic.</w:t>
      </w:r>
    </w:p>
    <w:p w:rsidR="00977DAB" w:rsidRPr="00110B70" w:rsidRDefault="00977DAB" w:rsidP="00977DAB">
      <w:pPr>
        <w:spacing w:after="0" w:line="240" w:lineRule="auto"/>
        <w:ind w:left="360"/>
        <w:rPr>
          <w:rFonts w:ascii="Comic Sans MS" w:hAnsi="Comic Sans MS" w:cs="Arial"/>
          <w:sz w:val="22"/>
          <w:szCs w:val="22"/>
        </w:rPr>
      </w:pPr>
    </w:p>
    <w:p w:rsidR="00977DAB" w:rsidRPr="00110B70" w:rsidRDefault="00977DAB" w:rsidP="00977DAB">
      <w:pPr>
        <w:numPr>
          <w:ilvl w:val="0"/>
          <w:numId w:val="6"/>
        </w:numPr>
        <w:spacing w:after="0" w:line="240" w:lineRule="auto"/>
        <w:ind w:left="360" w:hanging="360"/>
        <w:rPr>
          <w:rFonts w:ascii="Comic Sans MS" w:hAnsi="Comic Sans MS" w:cs="Arial"/>
          <w:sz w:val="22"/>
          <w:szCs w:val="22"/>
        </w:rPr>
      </w:pPr>
      <w:r w:rsidRPr="00110B70">
        <w:rPr>
          <w:rFonts w:ascii="Comic Sans MS" w:hAnsi="Comic Sans MS" w:cs="Arial"/>
          <w:sz w:val="22"/>
          <w:szCs w:val="22"/>
        </w:rPr>
        <w:t>Give each group of students three colorful cards.  On each card, they should write down one thing they “know” about the topic. (If they are wrong, do not correct them at this point.  That will come at the end of the lesson.)</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numPr>
          <w:ilvl w:val="0"/>
          <w:numId w:val="6"/>
        </w:numPr>
        <w:spacing w:after="0" w:line="240" w:lineRule="auto"/>
        <w:ind w:left="360" w:hanging="360"/>
        <w:rPr>
          <w:rFonts w:ascii="Comic Sans MS" w:hAnsi="Comic Sans MS" w:cs="Arial"/>
          <w:sz w:val="22"/>
          <w:szCs w:val="22"/>
        </w:rPr>
      </w:pPr>
      <w:r w:rsidRPr="00110B70">
        <w:rPr>
          <w:rFonts w:ascii="Comic Sans MS" w:hAnsi="Comic Sans MS" w:cs="Arial"/>
          <w:sz w:val="22"/>
          <w:szCs w:val="22"/>
        </w:rPr>
        <w:t xml:space="preserve">Have the groups work together to come up with three questions about the topic. </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numPr>
          <w:ilvl w:val="0"/>
          <w:numId w:val="6"/>
        </w:numPr>
        <w:spacing w:after="0" w:line="240" w:lineRule="auto"/>
        <w:ind w:left="360" w:hanging="360"/>
        <w:rPr>
          <w:rFonts w:ascii="Comic Sans MS" w:hAnsi="Comic Sans MS" w:cs="Arial"/>
          <w:sz w:val="22"/>
          <w:szCs w:val="22"/>
        </w:rPr>
      </w:pPr>
      <w:r w:rsidRPr="00110B70">
        <w:rPr>
          <w:rFonts w:ascii="Comic Sans MS" w:hAnsi="Comic Sans MS" w:cs="Arial"/>
          <w:sz w:val="22"/>
          <w:szCs w:val="22"/>
        </w:rPr>
        <w:t>Those questions should be written on a white index card.</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numPr>
          <w:ilvl w:val="0"/>
          <w:numId w:val="6"/>
        </w:numPr>
        <w:spacing w:after="0" w:line="240" w:lineRule="auto"/>
        <w:ind w:left="360" w:hanging="360"/>
        <w:rPr>
          <w:rFonts w:ascii="Comic Sans MS" w:hAnsi="Comic Sans MS" w:cs="Arial"/>
          <w:sz w:val="22"/>
          <w:szCs w:val="22"/>
        </w:rPr>
      </w:pPr>
      <w:r w:rsidRPr="00110B70">
        <w:rPr>
          <w:rFonts w:ascii="Comic Sans MS" w:hAnsi="Comic Sans MS" w:cs="Arial"/>
          <w:sz w:val="22"/>
          <w:szCs w:val="22"/>
        </w:rPr>
        <w:lastRenderedPageBreak/>
        <w:t>Tape each completed index card to a large piece of butcher paper in a patchwork quilt fashion.</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numPr>
          <w:ilvl w:val="0"/>
          <w:numId w:val="6"/>
        </w:numPr>
        <w:spacing w:after="0" w:line="240" w:lineRule="auto"/>
        <w:ind w:left="360" w:hanging="360"/>
        <w:rPr>
          <w:rFonts w:ascii="Comic Sans MS" w:hAnsi="Comic Sans MS" w:cs="Arial"/>
          <w:sz w:val="22"/>
          <w:szCs w:val="22"/>
        </w:rPr>
      </w:pPr>
      <w:r w:rsidRPr="00110B70">
        <w:rPr>
          <w:rFonts w:ascii="Comic Sans MS" w:hAnsi="Comic Sans MS" w:cs="Arial"/>
          <w:sz w:val="22"/>
          <w:szCs w:val="22"/>
        </w:rPr>
        <w:t>At this point, there are various options:</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numPr>
          <w:ilvl w:val="0"/>
          <w:numId w:val="8"/>
        </w:numPr>
        <w:spacing w:after="0" w:line="240" w:lineRule="auto"/>
        <w:rPr>
          <w:rFonts w:ascii="Comic Sans MS" w:hAnsi="Comic Sans MS" w:cs="Arial"/>
          <w:sz w:val="22"/>
          <w:szCs w:val="22"/>
        </w:rPr>
      </w:pPr>
      <w:r w:rsidRPr="00110B70">
        <w:rPr>
          <w:rFonts w:ascii="Comic Sans MS" w:hAnsi="Comic Sans MS" w:cs="Arial"/>
          <w:sz w:val="22"/>
          <w:szCs w:val="22"/>
        </w:rPr>
        <w:t>Use the questions and observations they made on the Discovery Quilt as a starting point for a class discussion or lesson.</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numPr>
          <w:ilvl w:val="0"/>
          <w:numId w:val="8"/>
        </w:numPr>
        <w:spacing w:after="0" w:line="240" w:lineRule="auto"/>
        <w:rPr>
          <w:rFonts w:ascii="Comic Sans MS" w:hAnsi="Comic Sans MS" w:cs="Arial"/>
          <w:sz w:val="22"/>
          <w:szCs w:val="22"/>
        </w:rPr>
      </w:pPr>
      <w:r w:rsidRPr="00110B70">
        <w:rPr>
          <w:rFonts w:ascii="Comic Sans MS" w:hAnsi="Comic Sans MS" w:cs="Arial"/>
          <w:sz w:val="22"/>
          <w:szCs w:val="22"/>
        </w:rPr>
        <w:t xml:space="preserve">Ask the students which questions are testable and let them choose one that they would like to investigate. </w:t>
      </w:r>
    </w:p>
    <w:p w:rsidR="00977DAB" w:rsidRPr="00110B70" w:rsidRDefault="00977DAB" w:rsidP="00977DAB">
      <w:pPr>
        <w:spacing w:after="0"/>
        <w:ind w:left="360"/>
        <w:rPr>
          <w:rFonts w:ascii="Comic Sans MS" w:hAnsi="Comic Sans MS" w:cs="Arial"/>
          <w:sz w:val="22"/>
          <w:szCs w:val="22"/>
        </w:rPr>
      </w:pPr>
    </w:p>
    <w:p w:rsidR="00977DAB" w:rsidRPr="00110B70" w:rsidRDefault="00977DAB" w:rsidP="00977DAB">
      <w:pPr>
        <w:numPr>
          <w:ilvl w:val="0"/>
          <w:numId w:val="8"/>
        </w:numPr>
        <w:spacing w:after="0" w:line="240" w:lineRule="auto"/>
        <w:rPr>
          <w:rFonts w:ascii="Comic Sans MS" w:hAnsi="Comic Sans MS" w:cs="Arial"/>
          <w:sz w:val="22"/>
          <w:szCs w:val="22"/>
        </w:rPr>
      </w:pPr>
      <w:r w:rsidRPr="00110B70">
        <w:rPr>
          <w:rFonts w:ascii="Comic Sans MS" w:hAnsi="Comic Sans MS" w:cs="Arial"/>
          <w:sz w:val="22"/>
          <w:szCs w:val="22"/>
        </w:rPr>
        <w:t xml:space="preserve">Ask how they might gain more information about these questions.  </w:t>
      </w:r>
    </w:p>
    <w:p w:rsidR="00977DAB" w:rsidRPr="00110B70" w:rsidRDefault="00977DAB" w:rsidP="00977DAB">
      <w:pPr>
        <w:spacing w:after="0"/>
        <w:rPr>
          <w:rFonts w:ascii="Comic Sans MS" w:hAnsi="Comic Sans MS" w:cs="Arial"/>
          <w:sz w:val="22"/>
          <w:szCs w:val="22"/>
        </w:rPr>
      </w:pPr>
    </w:p>
    <w:p w:rsidR="00977DAB" w:rsidRPr="00110B70" w:rsidRDefault="00977DAB" w:rsidP="00977DAB">
      <w:pPr>
        <w:numPr>
          <w:ilvl w:val="0"/>
          <w:numId w:val="6"/>
        </w:numPr>
        <w:spacing w:after="0" w:line="240" w:lineRule="auto"/>
        <w:rPr>
          <w:rFonts w:ascii="Comic Sans MS" w:hAnsi="Comic Sans MS" w:cs="Arial"/>
          <w:sz w:val="22"/>
          <w:szCs w:val="22"/>
        </w:rPr>
      </w:pPr>
      <w:r w:rsidRPr="00110B70">
        <w:rPr>
          <w:rFonts w:ascii="Comic Sans MS" w:hAnsi="Comic Sans MS" w:cs="Arial"/>
          <w:sz w:val="22"/>
          <w:szCs w:val="22"/>
        </w:rPr>
        <w:t>At the end of the lesson, ask students to choose a white card that is on their</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 xml:space="preserve">      quilt and have them answer the question.  This process helps students</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 xml:space="preserve">      formalize what they have learned and also allows the teacher to monitor their </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 xml:space="preserve">      progress.  They may also need to go back and correct some of the colorful </w:t>
      </w:r>
    </w:p>
    <w:p w:rsidR="00977DAB" w:rsidRPr="00110B70" w:rsidRDefault="00977DAB" w:rsidP="00977DAB">
      <w:pPr>
        <w:spacing w:after="0"/>
        <w:rPr>
          <w:rFonts w:ascii="Comic Sans MS" w:hAnsi="Comic Sans MS" w:cs="Arial"/>
          <w:sz w:val="22"/>
          <w:szCs w:val="22"/>
        </w:rPr>
      </w:pPr>
      <w:r w:rsidRPr="00110B70">
        <w:rPr>
          <w:rFonts w:ascii="Comic Sans MS" w:hAnsi="Comic Sans MS" w:cs="Arial"/>
          <w:sz w:val="22"/>
          <w:szCs w:val="22"/>
        </w:rPr>
        <w:t xml:space="preserve">      cards that have incorrect information on them.</w:t>
      </w:r>
    </w:p>
    <w:p w:rsidR="00977DAB" w:rsidRPr="00110B70" w:rsidRDefault="00977DAB" w:rsidP="00977DAB">
      <w:pPr>
        <w:spacing w:after="0"/>
        <w:jc w:val="both"/>
        <w:rPr>
          <w:rFonts w:ascii="Comic Sans MS" w:hAnsi="Comic Sans MS" w:cs="Arial"/>
          <w:b/>
          <w:bCs/>
        </w:rPr>
      </w:pPr>
    </w:p>
    <w:p w:rsidR="00977DAB" w:rsidRPr="00110B70" w:rsidRDefault="00977DAB" w:rsidP="00977DAB">
      <w:pPr>
        <w:spacing w:after="0"/>
        <w:rPr>
          <w:rFonts w:ascii="Comic Sans MS" w:hAnsi="Comic Sans MS" w:cs="Arial"/>
          <w:b/>
          <w:bCs/>
        </w:rPr>
      </w:pPr>
      <w:r>
        <w:rPr>
          <w:rFonts w:ascii="Comic Sans MS" w:hAnsi="Comic Sans MS" w:cs="Arial"/>
          <w:b/>
          <w:bCs/>
          <w:noProof/>
        </w:rPr>
        <w:drawing>
          <wp:anchor distT="0" distB="0" distL="114300" distR="114300" simplePos="0" relativeHeight="251670528" behindDoc="0" locked="0" layoutInCell="1" allowOverlap="1">
            <wp:simplePos x="0" y="0"/>
            <wp:positionH relativeFrom="column">
              <wp:posOffset>3081020</wp:posOffset>
            </wp:positionH>
            <wp:positionV relativeFrom="paragraph">
              <wp:posOffset>34290</wp:posOffset>
            </wp:positionV>
            <wp:extent cx="3181350" cy="3082925"/>
            <wp:effectExtent l="0" t="0" r="0" b="3175"/>
            <wp:wrapSquare wrapText="bothSides"/>
            <wp:docPr id="12" name="Picture 12" descr="MCj03564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j035648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308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DAB" w:rsidRPr="00110B70" w:rsidRDefault="00977DAB" w:rsidP="00977DAB">
      <w:pPr>
        <w:spacing w:after="0"/>
        <w:rPr>
          <w:rFonts w:ascii="Comic Sans MS" w:hAnsi="Comic Sans MS" w:cs="Arial"/>
        </w:rPr>
      </w:pPr>
      <w:r w:rsidRPr="00110B70">
        <w:rPr>
          <w:rFonts w:ascii="Comic Sans MS" w:hAnsi="Comic Sans MS" w:cs="Arial"/>
          <w:b/>
          <w:bCs/>
        </w:rPr>
        <w:t>Other Options:</w:t>
      </w:r>
    </w:p>
    <w:p w:rsidR="00977DAB" w:rsidRPr="00110B70" w:rsidRDefault="00977DAB" w:rsidP="00977DAB">
      <w:pPr>
        <w:spacing w:after="0"/>
        <w:rPr>
          <w:rFonts w:ascii="Comic Sans MS" w:hAnsi="Comic Sans MS" w:cs="Arial"/>
        </w:rPr>
      </w:pPr>
      <w:r w:rsidRPr="00110B70">
        <w:rPr>
          <w:rFonts w:ascii="Comic Sans MS" w:hAnsi="Comic Sans MS" w:cs="Arial"/>
        </w:rPr>
        <w:t>This activity could be implemented at the</w:t>
      </w:r>
      <w:r w:rsidRPr="00110B70">
        <w:rPr>
          <w:rFonts w:ascii="Comic Sans MS" w:hAnsi="Comic Sans MS" w:cs="Arial"/>
          <w:i/>
        </w:rPr>
        <w:t xml:space="preserve"> end</w:t>
      </w:r>
      <w:r w:rsidRPr="00110B70">
        <w:rPr>
          <w:rFonts w:ascii="Comic Sans MS" w:hAnsi="Comic Sans MS" w:cs="Arial"/>
        </w:rPr>
        <w:t xml:space="preserve"> of a lesson to find out what the students have learned and where they still need help.  This information could be helpful during the re</w:t>
      </w:r>
      <w:r>
        <w:rPr>
          <w:rFonts w:ascii="Comic Sans MS" w:hAnsi="Comic Sans MS" w:cs="Arial"/>
        </w:rPr>
        <w:t>-</w:t>
      </w:r>
      <w:r w:rsidRPr="00110B70">
        <w:rPr>
          <w:rFonts w:ascii="Comic Sans MS" w:hAnsi="Comic Sans MS" w:cs="Arial"/>
        </w:rPr>
        <w:t>teaching or reviewing session before a test.</w:t>
      </w:r>
    </w:p>
    <w:p w:rsidR="00977DAB" w:rsidRDefault="00977DAB" w:rsidP="00977DAB">
      <w:pPr>
        <w:spacing w:after="0"/>
        <w:rPr>
          <w:rFonts w:ascii="Arial" w:hAnsi="Arial" w:cs="Arial"/>
        </w:rPr>
      </w:pPr>
    </w:p>
    <w:p w:rsidR="00977DAB" w:rsidRPr="00AE715A" w:rsidRDefault="00977DAB" w:rsidP="00977DAB">
      <w:pPr>
        <w:spacing w:after="0"/>
        <w:rPr>
          <w:rFonts w:ascii="Arial" w:hAnsi="Arial" w:cs="Arial"/>
        </w:rPr>
      </w:pPr>
    </w:p>
    <w:p w:rsidR="00977DAB" w:rsidRPr="00AE715A" w:rsidRDefault="00977DAB" w:rsidP="00977DAB">
      <w:pPr>
        <w:spacing w:after="0"/>
        <w:rPr>
          <w:rFonts w:ascii="Arial" w:hAnsi="Arial" w:cs="Arial"/>
        </w:rPr>
      </w:pPr>
    </w:p>
    <w:p w:rsidR="00977DAB" w:rsidRPr="00AE715A" w:rsidRDefault="00977DAB" w:rsidP="00977DAB">
      <w:pPr>
        <w:spacing w:after="0"/>
        <w:rPr>
          <w:rFonts w:ascii="Arial" w:hAnsi="Arial" w:cs="Arial"/>
        </w:rPr>
      </w:pPr>
    </w:p>
    <w:p w:rsidR="00977DAB" w:rsidRPr="00AE715A" w:rsidRDefault="00977DAB" w:rsidP="00977DAB">
      <w:pPr>
        <w:spacing w:after="0"/>
        <w:ind w:left="720"/>
        <w:jc w:val="both"/>
        <w:rPr>
          <w:rFonts w:ascii="Arial" w:hAnsi="Arial" w:cs="Arial"/>
        </w:rPr>
      </w:pPr>
    </w:p>
    <w:p w:rsidR="00977DAB" w:rsidRPr="00AE715A" w:rsidRDefault="00977DAB" w:rsidP="00977DAB">
      <w:pPr>
        <w:spacing w:after="0"/>
        <w:ind w:left="720"/>
        <w:jc w:val="both"/>
        <w:rPr>
          <w:rFonts w:ascii="Arial" w:hAnsi="Arial" w:cs="Arial"/>
        </w:rPr>
      </w:pPr>
    </w:p>
    <w:p w:rsidR="00977DAB" w:rsidRPr="00110B70" w:rsidRDefault="00977DAB" w:rsidP="00977DAB">
      <w:pPr>
        <w:pStyle w:val="NormalWeb"/>
        <w:spacing w:after="0" w:afterAutospacing="0"/>
        <w:jc w:val="center"/>
        <w:rPr>
          <w:rFonts w:ascii="Comic Sans MS" w:hAnsi="Comic Sans MS" w:cs="Arial"/>
          <w:b/>
          <w:bCs/>
        </w:rPr>
      </w:pPr>
      <w:r>
        <w:rPr>
          <w:rFonts w:ascii="Comic Sans MS" w:hAnsi="Comic Sans MS" w:cs="Arial"/>
          <w:b/>
          <w:bCs/>
          <w:noProof/>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329565</wp:posOffset>
                </wp:positionV>
                <wp:extent cx="5898515" cy="406400"/>
                <wp:effectExtent l="5080" t="12700" r="1143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406400"/>
                        </a:xfrm>
                        <a:prstGeom prst="rect">
                          <a:avLst/>
                        </a:prstGeom>
                        <a:solidFill>
                          <a:srgbClr val="FFFFFF"/>
                        </a:solidFill>
                        <a:ln w="9525">
                          <a:solidFill>
                            <a:srgbClr val="000000"/>
                          </a:solidFill>
                          <a:miter lim="800000"/>
                          <a:headEnd/>
                          <a:tailEnd/>
                        </a:ln>
                      </wps:spPr>
                      <wps:txbx>
                        <w:txbxContent>
                          <w:p w:rsidR="00977DAB" w:rsidRPr="00962804" w:rsidRDefault="00977DAB" w:rsidP="00977DAB">
                            <w:pPr>
                              <w:pStyle w:val="Footer"/>
                              <w:rPr>
                                <w:sz w:val="20"/>
                              </w:rPr>
                            </w:pPr>
                            <w:r w:rsidRPr="00962804">
                              <w:rPr>
                                <w:bCs/>
                                <w:sz w:val="20"/>
                              </w:rPr>
                              <w:t xml:space="preserve">Modified by </w:t>
                            </w:r>
                            <w:r>
                              <w:rPr>
                                <w:bCs/>
                                <w:sz w:val="20"/>
                              </w:rPr>
                              <w:t xml:space="preserve">Amy Wood and </w:t>
                            </w:r>
                            <w:r w:rsidRPr="00962804">
                              <w:rPr>
                                <w:bCs/>
                                <w:sz w:val="20"/>
                              </w:rPr>
                              <w:t xml:space="preserve">Cathy Box.  </w:t>
                            </w:r>
                            <w:r>
                              <w:rPr>
                                <w:bCs/>
                                <w:sz w:val="20"/>
                              </w:rPr>
                              <w:t xml:space="preserve">2001.  </w:t>
                            </w:r>
                            <w:r w:rsidRPr="00962804">
                              <w:rPr>
                                <w:bCs/>
                                <w:i/>
                                <w:sz w:val="20"/>
                              </w:rPr>
                              <w:t>A GEMS Festival Guide</w:t>
                            </w:r>
                            <w:r w:rsidRPr="00962804">
                              <w:rPr>
                                <w:bCs/>
                                <w:sz w:val="20"/>
                              </w:rPr>
                              <w:t xml:space="preserve"> Written by Susan Brady and Carolyn Willard</w:t>
                            </w:r>
                          </w:p>
                          <w:p w:rsidR="00977DAB" w:rsidRDefault="00977DAB" w:rsidP="00977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25.95pt;width:464.45pt;height:32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xrLQIAAFIEAAAOAAAAZHJzL2Uyb0RvYy54bWysVM1u2zAMvg/YOwi6L3aCuEuMOEWXLsOA&#10;rhvQ7gFkWbaFSaImKbG7px8lp1n2dxnmgyCK5EfyI+nN9agVOQrnJZiKzmc5JcJwaKTpKvr5cf9q&#10;RYkPzDRMgREVfRKeXm9fvtgMthQL6EE1whEEMb4cbEX7EGyZZZ73QjM/AysMKltwmgUUXZc1jg2I&#10;rlW2yPOrbADXWAdceI+vt5OSbhN+2woePratF4GoimJuIZ0unXU8s+2GlZ1jtpf8lAb7hyw0kwaD&#10;nqFuWWDk4ORvUFpyBx7aMOOgM2hbyUWqAauZ579U89AzK1ItSI63Z5r8/4Pl98dPjsgGezenxDCN&#10;PXoUYyBvYCT4hPwM1pdo9mDRMIz4jrapVm/vgH/xxMCuZ6YTN87B0AvWYH7JM7twnXB8BKmHD9Bg&#10;HHYIkIDG1ulIHtJBEB379HTuTcyF42OxWq+KeUEJR90yv1rmqXkZK5+9rfPhnQBN4qWiDnuf0Nnx&#10;zgesA02fTWIwD0o2e6lUElxX75QjR4Zzsk9fLB1dfjJThgwVXReLYiLgrxB5+v4EoWXAgVdSV3R1&#10;NmJlpO2tadI4BibVdMf4ymAakcdI3URiGOvx1Jcamidk1ME02LiIeOnBfaNkwKGuqP96YE5Qot4b&#10;7Mp6vlzGLUjCsni9QMFdaupLDTMcoSoaKJmuuzBtzsE62fUYaZoDAzfYyVYmkmOqU1anvHFwE5Gn&#10;JYubcSknqx+/gu13AAAA//8DAFBLAwQUAAYACAAAACEAYH5c+94AAAAHAQAADwAAAGRycy9kb3du&#10;cmV2LnhtbEyPwU7DMBBE70j8g7VIXFDrpNCShDgVQgLRG7QIrm6yTSLsdbDdNPw9ywlus5rRzNty&#10;PVkjRvShd6QgnScgkGrX9NQqeNs9zjIQIWpqtHGECr4xwLo6Pyt10bgTveK4ja3gEgqFVtDFOBRS&#10;hrpDq8PcDUjsHZy3OvLpW9l4feJya+QiSVbS6p54odMDPnRYf26PVkF28zx+hM31y3u9Opg8Xt2O&#10;T19eqcuL6f4ORMQp/oXhF5/RoWKmvTtSE4RRwI9EBcs0B8FuvshY7DmWLnOQVSn/81c/AAAA//8D&#10;AFBLAQItABQABgAIAAAAIQC2gziS/gAAAOEBAAATAAAAAAAAAAAAAAAAAAAAAABbQ29udGVudF9U&#10;eXBlc10ueG1sUEsBAi0AFAAGAAgAAAAhADj9If/WAAAAlAEAAAsAAAAAAAAAAAAAAAAALwEAAF9y&#10;ZWxzLy5yZWxzUEsBAi0AFAAGAAgAAAAhANdM7GstAgAAUgQAAA4AAAAAAAAAAAAAAAAALgIAAGRy&#10;cy9lMm9Eb2MueG1sUEsBAi0AFAAGAAgAAAAhAGB+XPveAAAABwEAAA8AAAAAAAAAAAAAAAAAhwQA&#10;AGRycy9kb3ducmV2LnhtbFBLBQYAAAAABAAEAPMAAACSBQAAAAA=&#10;">
                <v:textbox>
                  <w:txbxContent>
                    <w:p w:rsidR="00977DAB" w:rsidRPr="00962804" w:rsidRDefault="00977DAB" w:rsidP="00977DAB">
                      <w:pPr>
                        <w:pStyle w:val="Footer"/>
                        <w:rPr>
                          <w:sz w:val="20"/>
                        </w:rPr>
                      </w:pPr>
                      <w:r w:rsidRPr="00962804">
                        <w:rPr>
                          <w:bCs/>
                          <w:sz w:val="20"/>
                        </w:rPr>
                        <w:t xml:space="preserve">Modified by </w:t>
                      </w:r>
                      <w:r>
                        <w:rPr>
                          <w:bCs/>
                          <w:sz w:val="20"/>
                        </w:rPr>
                        <w:t xml:space="preserve">Amy Wood and </w:t>
                      </w:r>
                      <w:r w:rsidRPr="00962804">
                        <w:rPr>
                          <w:bCs/>
                          <w:sz w:val="20"/>
                        </w:rPr>
                        <w:t xml:space="preserve">Cathy Box.  </w:t>
                      </w:r>
                      <w:r>
                        <w:rPr>
                          <w:bCs/>
                          <w:sz w:val="20"/>
                        </w:rPr>
                        <w:t xml:space="preserve">2001.  </w:t>
                      </w:r>
                      <w:r w:rsidRPr="00962804">
                        <w:rPr>
                          <w:bCs/>
                          <w:i/>
                          <w:sz w:val="20"/>
                        </w:rPr>
                        <w:t>A GEMS Festival Guide</w:t>
                      </w:r>
                      <w:r w:rsidRPr="00962804">
                        <w:rPr>
                          <w:bCs/>
                          <w:sz w:val="20"/>
                        </w:rPr>
                        <w:t xml:space="preserve"> Written by Susan Brady and Carolyn Willard</w:t>
                      </w:r>
                    </w:p>
                    <w:p w:rsidR="00977DAB" w:rsidRDefault="00977DAB" w:rsidP="00977DAB"/>
                  </w:txbxContent>
                </v:textbox>
              </v:shape>
            </w:pict>
          </mc:Fallback>
        </mc:AlternateContent>
      </w:r>
    </w:p>
    <w:p w:rsidR="00977DAB" w:rsidRPr="00110B70" w:rsidRDefault="00977DAB" w:rsidP="00977DAB">
      <w:pPr>
        <w:pStyle w:val="NormalWeb"/>
        <w:spacing w:after="0" w:afterAutospacing="0"/>
        <w:jc w:val="center"/>
        <w:rPr>
          <w:rFonts w:ascii="Comic Sans MS" w:hAnsi="Comic Sans MS" w:cs="Arial"/>
          <w:b/>
          <w:bCs/>
        </w:rPr>
      </w:pPr>
      <w:bookmarkStart w:id="0" w:name="_GoBack"/>
      <w:bookmarkEnd w:id="0"/>
    </w:p>
    <w:sectPr w:rsidR="00977DAB" w:rsidRPr="00110B70" w:rsidSect="00977DA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87" w:rsidRDefault="00044887" w:rsidP="00977DAB">
      <w:pPr>
        <w:spacing w:after="0" w:line="240" w:lineRule="auto"/>
      </w:pPr>
      <w:r>
        <w:separator/>
      </w:r>
    </w:p>
  </w:endnote>
  <w:endnote w:type="continuationSeparator" w:id="0">
    <w:p w:rsidR="00044887" w:rsidRDefault="00044887" w:rsidP="0097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87" w:rsidRDefault="00044887" w:rsidP="00977DAB">
      <w:pPr>
        <w:spacing w:after="0" w:line="240" w:lineRule="auto"/>
      </w:pPr>
      <w:r>
        <w:separator/>
      </w:r>
    </w:p>
  </w:footnote>
  <w:footnote w:type="continuationSeparator" w:id="0">
    <w:p w:rsidR="00044887" w:rsidRDefault="00044887" w:rsidP="00977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30A"/>
    <w:multiLevelType w:val="hybridMultilevel"/>
    <w:tmpl w:val="6994B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043384"/>
    <w:multiLevelType w:val="hybridMultilevel"/>
    <w:tmpl w:val="111CB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32007A"/>
    <w:multiLevelType w:val="multilevel"/>
    <w:tmpl w:val="8DC2B8D6"/>
    <w:lvl w:ilvl="0">
      <w:start w:val="1"/>
      <w:numFmt w:val="decimal"/>
      <w:lvlText w:val="%1."/>
      <w:legacy w:legacy="1" w:legacySpace="0" w:legacyIndent="360"/>
      <w:lvlJc w:val="left"/>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7153B3C"/>
    <w:multiLevelType w:val="hybridMultilevel"/>
    <w:tmpl w:val="B10C8B6E"/>
    <w:lvl w:ilvl="0" w:tplc="30D48CDE">
      <w:start w:val="7"/>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15:restartNumberingAfterBreak="0">
    <w:nsid w:val="1A55608B"/>
    <w:multiLevelType w:val="hybridMultilevel"/>
    <w:tmpl w:val="099866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3E24FA"/>
    <w:multiLevelType w:val="hybridMultilevel"/>
    <w:tmpl w:val="1BF03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D2393"/>
    <w:multiLevelType w:val="hybridMultilevel"/>
    <w:tmpl w:val="5FE42D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621C58"/>
    <w:multiLevelType w:val="hybridMultilevel"/>
    <w:tmpl w:val="8AF43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AB"/>
    <w:rsid w:val="00044887"/>
    <w:rsid w:val="00415A82"/>
    <w:rsid w:val="00487AC1"/>
    <w:rsid w:val="0097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98612-B4D0-4D5A-BFC3-35F0AEC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AB"/>
    <w:pPr>
      <w:spacing w:after="200" w:line="276"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977DAB"/>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qFormat/>
    <w:rsid w:val="00977DAB"/>
    <w:pPr>
      <w:spacing w:before="100" w:beforeAutospacing="1" w:after="100" w:afterAutospacing="1" w:line="240" w:lineRule="auto"/>
      <w:outlineLvl w:val="2"/>
    </w:pPr>
    <w:rPr>
      <w:rFonts w:eastAsia="Times New Roman"/>
      <w:b/>
      <w:bCs/>
      <w:color w:val="000000"/>
      <w:sz w:val="27"/>
      <w:szCs w:val="27"/>
    </w:rPr>
  </w:style>
  <w:style w:type="paragraph" w:styleId="Heading4">
    <w:name w:val="heading 4"/>
    <w:basedOn w:val="Normal"/>
    <w:link w:val="Heading4Char"/>
    <w:qFormat/>
    <w:rsid w:val="00977DAB"/>
    <w:pPr>
      <w:spacing w:before="100" w:beforeAutospacing="1" w:after="100" w:afterAutospacing="1" w:line="240" w:lineRule="auto"/>
      <w:outlineLvl w:val="3"/>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DA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977DAB"/>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977DAB"/>
    <w:rPr>
      <w:rFonts w:ascii="Times New Roman" w:eastAsia="Times New Roman" w:hAnsi="Times New Roman" w:cs="Times New Roman"/>
      <w:b/>
      <w:bCs/>
      <w:color w:val="000000"/>
      <w:sz w:val="24"/>
      <w:szCs w:val="24"/>
    </w:rPr>
  </w:style>
  <w:style w:type="character" w:styleId="Hyperlink">
    <w:name w:val="Hyperlink"/>
    <w:basedOn w:val="DefaultParagraphFont"/>
    <w:uiPriority w:val="99"/>
    <w:unhideWhenUsed/>
    <w:rsid w:val="00977DAB"/>
    <w:rPr>
      <w:color w:val="0000FF"/>
      <w:u w:val="single"/>
    </w:rPr>
  </w:style>
  <w:style w:type="paragraph" w:styleId="NormalWeb">
    <w:name w:val="Normal (Web)"/>
    <w:basedOn w:val="Normal"/>
    <w:uiPriority w:val="99"/>
    <w:rsid w:val="00977DAB"/>
    <w:pPr>
      <w:spacing w:before="100" w:beforeAutospacing="1" w:after="100" w:afterAutospacing="1" w:line="240" w:lineRule="auto"/>
    </w:pPr>
    <w:rPr>
      <w:rFonts w:eastAsia="Times New Roman"/>
      <w:color w:val="000000"/>
    </w:rPr>
  </w:style>
  <w:style w:type="paragraph" w:styleId="Footer">
    <w:name w:val="footer"/>
    <w:basedOn w:val="Normal"/>
    <w:link w:val="FooterChar"/>
    <w:uiPriority w:val="99"/>
    <w:rsid w:val="00977DAB"/>
    <w:pPr>
      <w:tabs>
        <w:tab w:val="center" w:pos="4320"/>
        <w:tab w:val="right" w:pos="8640"/>
      </w:tabs>
      <w:spacing w:after="0" w:line="240" w:lineRule="auto"/>
    </w:pPr>
    <w:rPr>
      <w:rFonts w:ascii="Tahoma" w:eastAsia="Times New Roman" w:hAnsi="Tahoma"/>
      <w:szCs w:val="20"/>
    </w:rPr>
  </w:style>
  <w:style w:type="character" w:customStyle="1" w:styleId="FooterChar">
    <w:name w:val="Footer Char"/>
    <w:basedOn w:val="DefaultParagraphFont"/>
    <w:link w:val="Footer"/>
    <w:uiPriority w:val="99"/>
    <w:rsid w:val="00977DAB"/>
    <w:rPr>
      <w:rFonts w:ascii="Tahoma" w:eastAsia="Times New Roman" w:hAnsi="Tahoma" w:cs="Times New Roman"/>
      <w:sz w:val="24"/>
      <w:szCs w:val="20"/>
    </w:rPr>
  </w:style>
  <w:style w:type="paragraph" w:styleId="Header">
    <w:name w:val="header"/>
    <w:basedOn w:val="Normal"/>
    <w:link w:val="HeaderChar"/>
    <w:uiPriority w:val="99"/>
    <w:unhideWhenUsed/>
    <w:rsid w:val="0097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A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Box</dc:creator>
  <cp:keywords/>
  <dc:description/>
  <cp:lastModifiedBy>Cathy Box</cp:lastModifiedBy>
  <cp:revision>1</cp:revision>
  <dcterms:created xsi:type="dcterms:W3CDTF">2015-08-12T17:00:00Z</dcterms:created>
  <dcterms:modified xsi:type="dcterms:W3CDTF">2015-08-12T17:06:00Z</dcterms:modified>
</cp:coreProperties>
</file>